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  <w:jc w:val="right"/>
      </w:pPr>
      <w:r>
        <w:rPr>
          <w:rFonts w:ascii="Times New Roman" w:hAnsi="Times New Roman"/>
          <w:b w:val="0"/>
          <w:i w:val="0"/>
          <w:sz w:val="28"/>
        </w:rPr>
        <w:t>УДК 004.822:69</w:t>
      </w:r>
    </w:p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ВЕКТОРНЫЙ ГРАФ ЗНАНИЙ ПРИ РАЗРАБОТКЕ ПРОЕКТНОЙ И РАБОЧЕЙ ДОКУМЕНТАЦИИ</w:t>
      </w:r>
    </w:p>
    <w:p/>
    <w:p>
      <w:pPr>
        <w:ind w:firstLine="0"/>
        <w:jc w:val="right"/>
      </w:pPr>
      <w:r>
        <w:rPr>
          <w:rFonts w:ascii="Times New Roman" w:hAnsi="Times New Roman"/>
          <w:b/>
          <w:i w:val="0"/>
          <w:sz w:val="28"/>
        </w:rPr>
        <w:t>ГАБИДУЛЛИН РИНАТ ЗИНАТУЛЛАЕВИЧ</w:t>
      </w:r>
    </w:p>
    <w:p>
      <w:pPr>
        <w:ind w:firstLine="0"/>
        <w:jc w:val="right"/>
      </w:pPr>
      <w:r>
        <w:rPr>
          <w:rFonts w:ascii="Times New Roman" w:hAnsi="Times New Roman"/>
          <w:b w:val="0"/>
          <w:i/>
          <w:sz w:val="28"/>
        </w:rPr>
        <w:t>генеральный директор, ООО «А-строй»</w:t>
      </w:r>
    </w:p>
    <w:p>
      <w:pPr>
        <w:ind w:firstLine="709"/>
        <w:jc w:val="both"/>
      </w:pPr>
      <w:r>
        <w:rPr>
          <w:rFonts w:ascii="Times New Roman" w:hAnsi="Times New Roman"/>
          <w:b/>
          <w:i/>
          <w:sz w:val="28"/>
        </w:rPr>
        <w:t>Аннотация.</w:t>
      </w:r>
      <w:r>
        <w:rPr>
          <w:rFonts w:ascii="Times New Roman" w:hAnsi="Times New Roman"/>
          <w:b w:val="0"/>
          <w:i/>
          <w:sz w:val="28"/>
        </w:rPr>
        <w:t xml:space="preserve"> Рассмотрено построение графа знаний объекта капитального строительства по комплекту проектной и рабочей документации. Показано, что чертёж, выпущенный средствами автоматизированного проектирования, содержит структуру в текстовом и векторном слоях, и что растеризация с последующим распознаванием эту структуру уничтожает. Обоснован выбор первичного узла графа: им предложено считать обозначение, нанесённое на лист, а не истолкованный предмет. Введены три независимые оси описания — предметный ярус, слой доверия и контур доступа. Предложена шестиярусная онтология и правила допустимости связей, приведена полная схема графа в формате JSON Schema.</w:t>
      </w:r>
    </w:p>
    <w:p>
      <w:pPr>
        <w:ind w:firstLine="709"/>
        <w:jc w:val="both"/>
      </w:pPr>
      <w:r>
        <w:rPr>
          <w:rFonts w:ascii="Times New Roman" w:hAnsi="Times New Roman"/>
          <w:b/>
          <w:i/>
          <w:sz w:val="28"/>
        </w:rPr>
        <w:t>Ключевые слова:</w:t>
      </w:r>
      <w:r>
        <w:rPr>
          <w:rFonts w:ascii="Times New Roman" w:hAnsi="Times New Roman"/>
          <w:b w:val="0"/>
          <w:i/>
          <w:sz w:val="28"/>
        </w:rPr>
        <w:t xml:space="preserve"> граф знаний, онтология, проектная документация, рабочая документация, нормоконтроль, комплектность, векторный чертёж, прослеживаемость, семантические технологии, информационное моделирование.</w:t>
      </w:r>
    </w:p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A VECTOR KNOWLEDGE GRAPH FOR THE DEVELOPMENT OF DESIGN AND WORKING DOCUMENTATION</w:t>
      </w:r>
    </w:p>
    <w:p/>
    <w:p>
      <w:pPr>
        <w:ind w:firstLine="0"/>
        <w:jc w:val="right"/>
      </w:pPr>
      <w:r>
        <w:rPr>
          <w:rFonts w:ascii="Times New Roman" w:hAnsi="Times New Roman"/>
          <w:b/>
          <w:i w:val="0"/>
          <w:sz w:val="28"/>
        </w:rPr>
        <w:t>GABIDULLIN RINAT ZINATULLAEVICH</w:t>
      </w:r>
    </w:p>
    <w:p>
      <w:pPr>
        <w:ind w:firstLine="0"/>
        <w:jc w:val="right"/>
      </w:pPr>
      <w:r>
        <w:rPr>
          <w:rFonts w:ascii="Times New Roman" w:hAnsi="Times New Roman"/>
          <w:b w:val="0"/>
          <w:i/>
          <w:sz w:val="28"/>
        </w:rPr>
        <w:t>General Director, A-Stroy LLC</w:t>
      </w:r>
    </w:p>
    <w:p>
      <w:pPr>
        <w:ind w:firstLine="709"/>
        <w:jc w:val="both"/>
      </w:pPr>
      <w:r>
        <w:rPr>
          <w:rFonts w:ascii="Times New Roman" w:hAnsi="Times New Roman"/>
          <w:b/>
          <w:i/>
          <w:sz w:val="28"/>
        </w:rPr>
        <w:t>Abstract.</w:t>
      </w:r>
      <w:r>
        <w:rPr>
          <w:rFonts w:ascii="Times New Roman" w:hAnsi="Times New Roman"/>
          <w:b w:val="0"/>
          <w:i/>
          <w:sz w:val="28"/>
        </w:rPr>
        <w:t xml:space="preserve"> The paper considers the construction of a knowledge graph of a capital construction facility from a set of design and working documentation. It is shown that a drawing issued by computer-aided design tools contains structure in its text and vector layers, and that rasterisation followed by pattern recognition destroys this structure. The choice of the primary graph node is substantiated: the designation written on the sheet is proposed as such a node, rather than the interpreted object. Three independent axes of description are introduced — the subject tier, the trust layer and the access contour. A six-tier ontology and rules for admissible relations are proposed, and a complete graph schema in JSON Schema format is presented.</w:t>
      </w:r>
    </w:p>
    <w:p>
      <w:pPr>
        <w:ind w:firstLine="709"/>
        <w:jc w:val="both"/>
      </w:pPr>
      <w:r>
        <w:rPr>
          <w:rFonts w:ascii="Times New Roman" w:hAnsi="Times New Roman"/>
          <w:b/>
          <w:i/>
          <w:sz w:val="28"/>
        </w:rPr>
        <w:t>Keywords:</w:t>
      </w:r>
      <w:r>
        <w:rPr>
          <w:rFonts w:ascii="Times New Roman" w:hAnsi="Times New Roman"/>
          <w:b w:val="0"/>
          <w:i/>
          <w:sz w:val="28"/>
        </w:rPr>
        <w:t xml:space="preserve"> knowledge graph, ontology, design documentation, working documentation, normative control, completeness, vector drawing, traceability, semantic technologies, information modelling.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Введение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Комплект рабочей документации на объект капитального строительства насчитывает сотни листов, распределённых по маркам разделов, и десятки текстовых документов. Значительная часть содержащихся в нём сведений связана перекрёстно: марка изделия, нанесённая на плане, раскрывается строкой спецификации на другом листе; номер помещения — строкой экспликации; отметка узла — отдельным листом узлов. Проверка того, что эти связи замкнуты, составляет существенную часть нормоконтроля и выполняется преимущественно вручную. Та же проверка повторяется при приёме-передаче документации подрядной организации, где неполнота комплекта обнаруживается уже на площадке [3].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Цена пропуска измерима. Из выборки пятидесяти проектов лишь 10 % не имели замечаний государственной экспертизы, а ошибки проекта и неудачные проектные решения являются причиной от 10 до 35 % аварий [1, с. 710]. Издержки недостаточной совместимости данных в отрасли капитального строительства США оценены в 15,8 млрд долларов в год, причём основная их часть приходится на повторный ввод данных, проверку и устранение последствий рассогласования [9]. Контроль качества проектной деятельности при этом остаётся преимущественно организационной процедурой, а не расчётной [5].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Технологии информационного моделирования предлагают представлять объект пространственной моделью, а обмен между разделами вести через открытый формат [8]. Семантические технологии развивают этот подход, представляя данные модели связным графом и позволяя соединять их со сведениями иной природы [11]. Обзор применения онтологий и семантического веба в управлении строительством выделяет восемь групп задач, среди которых проверка соответствия требованиям, и указывает на сохраняющиеся препятствия: сложность отображения онтологий, вопросы масштабируемости и защиты данных [10, p. 1208].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Однако предпосылка всех этих подходов — наличие информационной модели. Значительная доля выпускаемой документации моделью не сопровождается: она существует в виде комплекта чертежей и текстовых документов, размещённых в среде общих данных, к которой предъявляются требования хранения и версионности, но не смыслового разбора содержимого [6]. Задача построения графа знаний по такому комплекту остаётся открытой и по постановке отличается от задачи извлечения данных из модели.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Цель работы — предложить устройство графа знаний, наполняемого непосредственно по комплекту документации, и обосновать его ключевые решения.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1. Исходное наблюдение: чертёж уже структурирован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Работы по извлечению данных из чертежей, как правило, исходят из растрового изображения. Предлагаются многоступенчатые схемы с нейросетевой детекцией элементов и последующим восстановлением геометрических примитивов [2, с. 55]. Отдельное направление — распознавание условно-графических обозначений на схемах. Применение методов искусственного интеллекта в архитектурной и градостроительной практике рассматривается как складывающееся направление, охватывающее в том числе работу с графическими материалами [4, с. 229].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Постановка задачи в такой форме оправдана для документации на бумажном носителе. Для документации, выпущенной средствами автоматизированного проектирования, она избыточна и, более того, разрушительна.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Лист рабочей документации, сохранённый в формат переносимых документов, содержит два машиночитаемых слоя. Текстовый слой хранит каждую надпись с её координатами: типовой лист плана этажа формата А0 несёт порядка двух с половиной тысяч текстовых фрагментов — в их числе основная надпись, маркировка осей, номера помещений, марки изделий, строки экспликаций и ведомостей. Векторный слой хранит геометрию: контуры, штриховки, рамки таблиц и замкнутые фигуры выносок, число которых на таком листе измеряется сотнями тысяч примитивов.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Растеризация листа с последующим распознаванием обоих слоёв не использует. Более того, она физически не может воспроизвести их содержание: лист формата А0 при подаче на вход модели машинного зрения сжимается до нескольких сотен или тысяч пикселей по длинной стороне, и высота строки основной надписи на таком изображении оказывается меньше пикселя. Утверждение о содержании такого листа, полученное по его уменьшенному изображению, не имеет опоры в документе.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Отсюда первое положение: </w:t>
      </w:r>
      <w:r>
        <w:rPr>
          <w:rFonts w:ascii="Times New Roman" w:hAnsi="Times New Roman"/>
          <w:b/>
          <w:i w:val="0"/>
          <w:sz w:val="28"/>
        </w:rPr>
        <w:t>если у листа есть текстовый слой, разметка берётся из него, а детекция по изображению применяется лишь к тому, чего в тексте нет.</w:t>
      </w:r>
      <w:r>
        <w:rPr>
          <w:rFonts w:ascii="Times New Roman" w:hAnsi="Times New Roman"/>
          <w:b w:val="0"/>
          <w:i w:val="0"/>
          <w:sz w:val="28"/>
        </w:rPr>
        <w:t xml:space="preserve"> Приём распознавания по растру сохраняет применимость для сканированных материалов и для условно-графических обозначений, не сопровождаемых подписями.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2. Первичный узел: обозначение, а не предмет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Типовые онтологии инженерных данных строятся вокруг предмета: узлом объявляется оборудование, участок сети, арматура, помещение. Такое решение представляется естественным, но содержит скрытое требование: чтобы создать узел «насос», необходимо уже установить, что перед нами насос.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Для графа, наполняемого по чертежу, это требование невыполнимо и опасно. На листе нанесено обозначение — например, `1с7`, `Н1`, `1.11.2`. Что именно оно обозначает, сообщает строка спецификации или экспликации, а не изображение. Если узлом объявлен предмет, то всякое обозначение, предмет которого не установлен, в граф не попадает. Проверка вида «элемент нанесён на план, но отсутствует в спецификации» по такому графу вернёт пустой результат — и </w:t>
      </w:r>
      <w:r>
        <w:rPr>
          <w:rFonts w:ascii="Times New Roman" w:hAnsi="Times New Roman"/>
          <w:b/>
          <w:i w:val="0"/>
          <w:sz w:val="28"/>
        </w:rPr>
        <w:t>отсутствие находки станет неотличимо от отсутствия нарушения.</w:t>
      </w:r>
      <w:r>
        <w:rPr>
          <w:rFonts w:ascii="Times New Roman" w:hAnsi="Times New Roman"/>
          <w:b w:val="0"/>
          <w:i w:val="0"/>
          <w:sz w:val="28"/>
        </w:rPr>
        <w:t xml:space="preserve"> Это худший вид отказа для контролирующей процедуры: она молчит именно там, где данные неполны.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Отсюда второе положение: </w:t>
      </w:r>
      <w:r>
        <w:rPr>
          <w:rFonts w:ascii="Times New Roman" w:hAnsi="Times New Roman"/>
          <w:b/>
          <w:i w:val="0"/>
          <w:sz w:val="28"/>
        </w:rPr>
        <w:t>первичным узлом графа следует считать обозначение — запись, нанесённую на лист, — а предмет рассматривать как свойство узла, полученное из документа, где он назван словами.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Решение имеет и практическое следствие для отождествления узлов. Обозначения нормализуются иначе, чем наименования. Общепринятая нормализация наименований снимает знаки препинания по краям строки, что оправдано для организаций и заголовков. Применённая к обозначению, она меняет предмет: запись вида `-131`, обозначающая помещение подвального этажа, приводится к `131`, то есть к помещению первого этажа. Два различных помещения сливаются в один узел, после чего раскрытие одного из них закрывает проверку по второму. </w:t>
      </w:r>
      <w:r>
        <w:rPr>
          <w:rFonts w:ascii="Times New Roman" w:hAnsi="Times New Roman"/>
          <w:b/>
          <w:i w:val="0"/>
          <w:sz w:val="28"/>
        </w:rPr>
        <w:t>Правило нормализации обязано быть функцией вида узла.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3. Три независимые оси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Многоярусные онтологии инженерных данных описывают предмет несколькими слоями — физическим, пространственным, логическим, документарным. Такое разделение продуктивно, но при переносе на документацию обнаруживается, что «слой» в этих схемах несёт сразу три разных смысла, и их смешение приводит к неразрешимым положениям.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Предлагается разделить три независимые оси, на каждой из которых узел, свойство и связь занимают собственное положение.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Ярус</w:t>
      </w:r>
      <w:r>
        <w:rPr>
          <w:rFonts w:ascii="Times New Roman" w:hAnsi="Times New Roman"/>
          <w:b w:val="0"/>
          <w:i w:val="0"/>
          <w:sz w:val="28"/>
        </w:rPr>
        <w:t xml:space="preserve"> отвечает на вопрос «о чём это»: документ, организация, место, изделие, система, норма.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Слой доверия</w:t>
      </w:r>
      <w:r>
        <w:rPr>
          <w:rFonts w:ascii="Times New Roman" w:hAnsi="Times New Roman"/>
          <w:b w:val="0"/>
          <w:i w:val="0"/>
          <w:sz w:val="28"/>
        </w:rPr>
        <w:t xml:space="preserve"> отвечает на вопрос «откуда это взято». Различаются три значения: </w:t>
      </w:r>
      <w:r>
        <w:rPr>
          <w:rFonts w:ascii="Times New Roman" w:hAnsi="Times New Roman"/>
          <w:b w:val="0"/>
          <w:i/>
          <w:sz w:val="28"/>
        </w:rPr>
        <w:t>записано</w:t>
      </w:r>
      <w:r>
        <w:rPr>
          <w:rFonts w:ascii="Times New Roman" w:hAnsi="Times New Roman"/>
          <w:b w:val="0"/>
          <w:i w:val="0"/>
          <w:sz w:val="28"/>
        </w:rPr>
        <w:t xml:space="preserve"> — сведение прочитано в документе; </w:t>
      </w:r>
      <w:r>
        <w:rPr>
          <w:rFonts w:ascii="Times New Roman" w:hAnsi="Times New Roman"/>
          <w:b w:val="0"/>
          <w:i/>
          <w:sz w:val="28"/>
        </w:rPr>
        <w:t>выведено</w:t>
      </w:r>
      <w:r>
        <w:rPr>
          <w:rFonts w:ascii="Times New Roman" w:hAnsi="Times New Roman"/>
          <w:b w:val="0"/>
          <w:i w:val="0"/>
          <w:sz w:val="28"/>
        </w:rPr>
        <w:t xml:space="preserve"> — получено расчётом или геометрическим построением, с обязательным указанием приёма; </w:t>
      </w:r>
      <w:r>
        <w:rPr>
          <w:rFonts w:ascii="Times New Roman" w:hAnsi="Times New Roman"/>
          <w:b w:val="0"/>
          <w:i/>
          <w:sz w:val="28"/>
        </w:rPr>
        <w:t>предположено</w:t>
      </w:r>
      <w:r>
        <w:rPr>
          <w:rFonts w:ascii="Times New Roman" w:hAnsi="Times New Roman"/>
          <w:b w:val="0"/>
          <w:i w:val="0"/>
          <w:sz w:val="28"/>
        </w:rPr>
        <w:t xml:space="preserve"> — гипотеза, требующая решения человека. Без такого различения расчётная величина ложится рядом с паспортной как равная ей, и через непродолжительное время их источник восстановить невозможно.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Контур доступа</w:t>
      </w:r>
      <w:r>
        <w:rPr>
          <w:rFonts w:ascii="Times New Roman" w:hAnsi="Times New Roman"/>
          <w:b w:val="0"/>
          <w:i w:val="0"/>
          <w:sz w:val="28"/>
        </w:rPr>
        <w:t xml:space="preserve"> отвечает на вопрос «кому это видно». Для проектной организации естественно разделение на контур финансов, контур управления и контур разработки: сметы и платежи, договоры и переписка, техническая часть.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Оси ортогональны. Марка перемычки принадлежит предметному ярусу, записана и открыта участникам разработки. Сумма договора принадлежит организационному ярусу, тоже записана, но закрыта. Расчётный ток потребителя принадлежит предметному ярусу, открыт, но выведен, а не записан. Сведение трёх осей в одно поле приводит либо к закрытию технической части вместе со сметой, либо к признанию расчёта замером.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Отдельного замечания требует соотношение контура доступа и графа. Контур принадлежит </w:t>
      </w:r>
      <w:r>
        <w:rPr>
          <w:rFonts w:ascii="Times New Roman" w:hAnsi="Times New Roman"/>
          <w:b/>
          <w:i w:val="0"/>
          <w:sz w:val="28"/>
        </w:rPr>
        <w:t>документу</w:t>
      </w:r>
      <w:r>
        <w:rPr>
          <w:rFonts w:ascii="Times New Roman" w:hAnsi="Times New Roman"/>
          <w:b w:val="0"/>
          <w:i w:val="0"/>
          <w:sz w:val="28"/>
        </w:rPr>
        <w:t>, а не сущности: одна и та же организация упоминается и в договоре, и в основной надписи чертежа. Поэтому видимость сущности производна — сущность видна тому, кому виден хотя бы один документ с её упоминанием. Введение второго, независимого определения допуска для графа неизбежно приводит к расхождению с первым.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4. Шесть ярусов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Предлагается следующий состав ярусов, упорядоченный по убыванию достоверности.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Ярус 1, документарный</w:t>
      </w:r>
      <w:r>
        <w:rPr>
          <w:rFonts w:ascii="Times New Roman" w:hAnsi="Times New Roman"/>
          <w:b w:val="0"/>
          <w:i w:val="0"/>
          <w:sz w:val="28"/>
        </w:rPr>
        <w:t xml:space="preserve"> — источники, листы, таблицы. Отвечает на вопрос, что и где написано. Это единственный ярус, содержащий факты в строгом смысле; содержание всех прочих ярусов из него выведено. В известных многоярусных схемах документарный ярус помещают последним, как вспомогательный. Предлагается поместить его первым: </w:t>
      </w:r>
      <w:r>
        <w:rPr>
          <w:rFonts w:ascii="Times New Roman" w:hAnsi="Times New Roman"/>
          <w:b/>
          <w:i w:val="0"/>
          <w:sz w:val="28"/>
        </w:rPr>
        <w:t>порядок ярусов есть утверждение о надёжности</w:t>
      </w:r>
      <w:r>
        <w:rPr>
          <w:rFonts w:ascii="Times New Roman" w:hAnsi="Times New Roman"/>
          <w:b w:val="0"/>
          <w:i w:val="0"/>
          <w:sz w:val="28"/>
        </w:rPr>
        <w:t>, и начинать следует с того, что записано.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Ярус 2, организационный</w:t>
      </w:r>
      <w:r>
        <w:rPr>
          <w:rFonts w:ascii="Times New Roman" w:hAnsi="Times New Roman"/>
          <w:b w:val="0"/>
          <w:i w:val="0"/>
          <w:sz w:val="28"/>
        </w:rPr>
        <w:t xml:space="preserve"> — организации, подписанты, договоры, задания, сроки, суммы. Наполняется из контуров финансов и управления. В инженерных онтологиях этот ярус обычно отсутствует, поскольку они описывают объект, а не работу над ним. Для графа проекта он необходим: вопросы «кто выпустил лист», «к какому сроку» и «по какому договору» относятся к тому же объекту.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Ярус 3, пространственный</w:t>
      </w:r>
      <w:r>
        <w:rPr>
          <w:rFonts w:ascii="Times New Roman" w:hAnsi="Times New Roman"/>
          <w:b w:val="0"/>
          <w:i w:val="0"/>
          <w:sz w:val="28"/>
        </w:rPr>
        <w:t xml:space="preserve"> — объект, корпус, этаж, помещение, координационная ось. Иерархия вложения здесь совпадает с принятой в облегчённых онтологиях топологии зданий, где здание содержит этажи, этаж — помещения, а помещение — элементы [11, p. 143]. Существенно, что такая иерархия описывается небольшим словарём: попытка опереться на полное отображение отраслевого формата обмена в онтологию известна сложностью структуры и объёмом, затрудняющим и рассуждение, и расширение.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Ярус 4, предметный</w:t>
      </w:r>
      <w:r>
        <w:rPr>
          <w:rFonts w:ascii="Times New Roman" w:hAnsi="Times New Roman"/>
          <w:b w:val="0"/>
          <w:i w:val="0"/>
          <w:sz w:val="28"/>
        </w:rPr>
        <w:t xml:space="preserve"> — обозначения, изделия, материалы. Вход в ярус — обозначение (раздел 2); изделие появляется тогда и только тогда, когда строка спецификации назвала предмет словами.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Ярус 5, системный</w:t>
      </w:r>
      <w:r>
        <w:rPr>
          <w:rFonts w:ascii="Times New Roman" w:hAnsi="Times New Roman"/>
          <w:b w:val="0"/>
          <w:i w:val="0"/>
          <w:sz w:val="28"/>
        </w:rPr>
        <w:t xml:space="preserve"> — инженерные системы и связи питания и управления между разделами. Здесь необходима оговорка о источнике связей. Топологию систем следует брать с принципиальных и однолинейных схем, где соединения нанесены явно, а не с планов, где их пришлось бы восстанавливать трассировкой линий. Восстановление топологии сетей по плоскому чертежу требует одновременно масштаба, единого начала координат для листов разных марок и высотных отметок, каждое из которых представляет отдельную задачу; выход такой процедуры невысок, а вероятность ложного результата значительна.</w:t>
      </w:r>
    </w:p>
    <w:p>
      <w:pPr>
        <w:ind w:firstLine="709"/>
        <w:jc w:val="both"/>
      </w:pPr>
      <w:r>
        <w:rPr>
          <w:rFonts w:ascii="Times New Roman" w:hAnsi="Times New Roman"/>
          <w:b/>
          <w:i w:val="0"/>
          <w:sz w:val="28"/>
        </w:rPr>
        <w:t>Ярус 6, нормативный</w:t>
      </w:r>
      <w:r>
        <w:rPr>
          <w:rFonts w:ascii="Times New Roman" w:hAnsi="Times New Roman"/>
          <w:b w:val="0"/>
          <w:i w:val="0"/>
          <w:sz w:val="28"/>
        </w:rPr>
        <w:t xml:space="preserve"> — нормативные документы и их отдельные пункты. Требование выделено в самостоятельный ярус потому, что нормативная база внешняя по отношению к проекту и изменяется независимо от него. Автоматическое построение графов знаний по нормативной документации представляет самостоятельное направление; показано, что извлечение терминов из нормативных текстов достижимо, притом что отождествление извлечённого термина с записью справочника остаётся наименее надёжным звеном [7].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5. Связь как утверждение, требующее доказательства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Ребро графа, построенного по документации, есть утверждение о документе. Оно должно быть проверяемым, иначе граф накапливает правдоподобные, но необоснованные сведения.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Предлагается требование: </w:t>
      </w:r>
      <w:r>
        <w:rPr>
          <w:rFonts w:ascii="Times New Roman" w:hAnsi="Times New Roman"/>
          <w:b/>
          <w:i w:val="0"/>
          <w:sz w:val="28"/>
        </w:rPr>
        <w:t>у каждого ребра указывается основание — пара упоминаний, в которых обе связываемые стороны написаны.</w:t>
      </w:r>
      <w:r>
        <w:rPr>
          <w:rFonts w:ascii="Times New Roman" w:hAnsi="Times New Roman"/>
          <w:b w:val="0"/>
          <w:i w:val="0"/>
          <w:sz w:val="28"/>
        </w:rPr>
        <w:t xml:space="preserve"> Ребро «обозначение `1с7` раскрыто в спецификации» доказано двумя адресами: выноской на плане и строкой таблицы. Ребро, выведенное из соображений о схеме именования — например, предположение, что `К1.1` есть модуль устройства `К1`, — основания не имеет и хранится как гипотеза яруса «предположено», но не как ребро.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Требование имеет следствие для сопровождения графа. При переиздании листа основания, ссылающиеся на его упоминания, становятся недействительными, и зависящие от них рёбра подлежат снятию. Ребро без основания снять невозможно: неизвестно, чем оно держалось.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Допустимость связей ограничивается правилами вида «ярус — вид связи — ярус». Без таких правил в граф попадают конструкции вида «помещение питает нормативный документ», синтаксически корректные и бессмысленные, а запрос контроля возвращает по ним пустой или ложный результат.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6. Проверка комплектности без разбора таблиц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Изложенное устройство делает возможной проверку, представляющую практический интерес и не требующую распознавания таблиц.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Первоначально естественным представляется сопоставление: извлечь обозначения с плана, извлечь строки таблиц и сравнить множества. Такой путь упирается в качество извлечения таблиц. Таблицы на листах рабочей документации разрываются рамками, объединяются по нескольку в одну область, содержат объединённые ячейки; извлечение даёт заведомо неполный результат. Сопоставление с неполным множеством порождает ложные замечания в количестве, делающем процедуру непригодной: недостающая строка таблицы неотличима от отсутствующей.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Предлагается иной признак, не зависящий от полноты извлечения таблиц. Каждое упоминание обозначения снабжается </w:t>
      </w:r>
      <w:r>
        <w:rPr>
          <w:rFonts w:ascii="Times New Roman" w:hAnsi="Times New Roman"/>
          <w:b/>
          <w:i w:val="0"/>
          <w:sz w:val="28"/>
        </w:rPr>
        <w:t>видом</w:t>
      </w:r>
      <w:r>
        <w:rPr>
          <w:rFonts w:ascii="Times New Roman" w:hAnsi="Times New Roman"/>
          <w:b w:val="0"/>
          <w:i w:val="0"/>
          <w:sz w:val="28"/>
        </w:rPr>
        <w:t>: выноска — обозначение нанесено на план в замкнутом значке; текст — обозначение встречается в тексте листа вне выносок; строка таблицы, заголовок, основная надпись, подпись на плане. Тогда: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&gt; Обозначение, имеющее упоминание вида «выноска» и не имеющее ни одного упоминания иного вида в пределах документа, нигде в этом документе не раскрыто.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Утверждение опирается на счёт вхождений в текстовый слой, а он полон по построению: текстовый слой содержит все надписи листа независимо от того, распознана ли структура таблицы. Номер помещения, имеющий строку экспликации, встречается на листе дважды — в выноске и в строке; номер, строки не имеющий, встречается один раз.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Проверка требует двух оговорок, без которых она даёт ложные замечания.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Первая: </w:t>
      </w:r>
      <w:r>
        <w:rPr>
          <w:rFonts w:ascii="Times New Roman" w:hAnsi="Times New Roman"/>
          <w:b/>
          <w:i w:val="0"/>
          <w:sz w:val="28"/>
        </w:rPr>
        <w:t>раскрытие ищется в пределах документа, а не листа.</w:t>
      </w:r>
      <w:r>
        <w:rPr>
          <w:rFonts w:ascii="Times New Roman" w:hAnsi="Times New Roman"/>
          <w:b w:val="0"/>
          <w:i w:val="0"/>
          <w:sz w:val="28"/>
        </w:rPr>
        <w:t xml:space="preserve"> В томе спецификация размещается на отдельном листе, и проверка «раскрыто на этом же листе» объявила бы нераскрытым всё, что раскрыто страницей далее. Осторожность здесь несимметрична: пропущенное замечание обходится дешевле выдуманного.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Вторая: </w:t>
      </w:r>
      <w:r>
        <w:rPr>
          <w:rFonts w:ascii="Times New Roman" w:hAnsi="Times New Roman"/>
          <w:b/>
          <w:i w:val="0"/>
          <w:sz w:val="28"/>
        </w:rPr>
        <w:t>для марок изделий отсутствие раскрытия в пределах документа есть норма, а не находка.</w:t>
      </w:r>
      <w:r>
        <w:rPr>
          <w:rFonts w:ascii="Times New Roman" w:hAnsi="Times New Roman"/>
          <w:b w:val="0"/>
          <w:i w:val="0"/>
          <w:sz w:val="28"/>
        </w:rPr>
        <w:t xml:space="preserve"> Спецификация марок размещается в комплекте другой марки раздела. Замечанием отсутствие раскрытия является для номеров помещений; для марок изделий вывод делается по спецификации соответствующего комплекта. Без такого разделения процедура выдаёт сотни ложных замечаний на один лист.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7. Адресация: доли листа, а не единицы длины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Всякое утверждение графа должно допускать проверку человеком — то есть содержать адрес, по которому соответствующий участок листа может быть показан. Форма адреса требует оговорки, кажущейся частной, но приводящей к ошибкам, которые не обнаруживаются при отладке.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Лист большого формата, как правило, сохраняется повёрнутым: страница записана в книжной ориентации с указанием поворота на прямой угол. У такой страницы сосуществуют несколько систем координат: размеры страницы в том виде, в каком она показывается; координаты текста в том виде, в каком он записан; координаты, в которых средства разбора возвращают границы таблиц. Значение, взятое из одной системы и применённое в другой, указывает на существующее, но иное место листа. Ошибка не вызывает отказа: процедура завершается успешно и возвращает неверный участок.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Отсюда положение: </w:t>
      </w:r>
      <w:r>
        <w:rPr>
          <w:rFonts w:ascii="Times New Roman" w:hAnsi="Times New Roman"/>
          <w:b/>
          <w:i w:val="0"/>
          <w:sz w:val="28"/>
        </w:rPr>
        <w:t>наружу адрес выходит в долях листа в показанном виде — числами от нуля до единицы, — а пересчёт между системами координат сосредоточен в одном месте.</w:t>
      </w:r>
      <w:r>
        <w:rPr>
          <w:rFonts w:ascii="Times New Roman" w:hAnsi="Times New Roman"/>
          <w:b w:val="0"/>
          <w:i w:val="0"/>
          <w:sz w:val="28"/>
        </w:rPr>
        <w:t xml:space="preserve"> Доля не зависит ни от формата листа, ни от разрешения, ни от поворота.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8. Схема графа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Ниже приведена схема предлагаемого графа в формате JSON Schema (черновик 2020-12). Схема задаёт три оси, шесть ярусов, состав узла, упоминания и связи, а также форму правил допустимости связей. Принадлежность вида узла своему ярусу задана перечислением, что позволяет отвергать несогласованные записи при проверке, а не при использовании.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```json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"$schema": "https://json-schema.org/draft/2020-12/schema",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"title": "Граф знаний объекта капитального строительства",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"object",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"required": ["объект", "оси", "узлы", "связи"],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"properties":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"объект":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"object",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"required": ["id", "шифр", "название"],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"properties":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"id": { "type": "string", "format": "uuid"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"шифр": { "type": "string"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"название": { "type": "string"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"стадии":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"array",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"items": { "enum": ["РД", "ПД", "ИД", "ОБИН", "ТЭО", "Смета", "Договор", "ОРД"] 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"марки": { "type": "array", "items": { "type": "string" } 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"оси":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"object",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"required": ["ярусы", "слои_доверия", "контуры_доступа"],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"properties":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"ярусы":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"array", "minItems": 6, "maxItems": 6,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"items":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"object",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"required": ["имя", "номер", "отвечает_на", "виды_узлов"],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"properties":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"имя":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"enum": ["документарный", "организационный", "пространственный",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"предметный", "системный", "нормативный"]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"номер": { "type": "integer", "minimum": 1, "maximum": 6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"отвечает_на": { "type": "string"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"виды_узлов": { "type": "array", "items": { "type": "string" } 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"слои_доверия":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"array",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"items": { "enum": ["записано", "выведено", "предположено"] 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"контуры_доступа":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"array",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"items": { "enum": ["финансы", "управление", "разработка"] 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"узлы":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"array",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"items":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"object",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"required": ["id", "ярус", "вид", "имя", "ключ"],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"properties":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"id": { "type": "string", "format": "uuid"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"ярус":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"enum": ["документарный", "организационный", "пространственный",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"предметный", "системный", "нормативный"]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"вид": { "type": "string"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"имя": { "type": "string"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"ключ":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"string",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"description": "Нормализованное имя; правило нормализации зависит от вида узла."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"чувствительность": { "enum": ["открыто", "ограничено"]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"свойства":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"object",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"additionalProperties":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"object",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"required": ["значение", "слой"],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"properties":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"значение": {},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"единица": { "type": ["string", "null"]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"слой": { "enum": ["записано", "выведено", "предположено"]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"основание":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["string", "null"],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"description": "Для «записано» — адрес упоминания; для «выведено» — приём или формула."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"упоминания":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"array",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"items":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"object",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"required": ["id", "источник", "вид"],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"properties":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"id": { "type": "string", "format": "uuid"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"источник": { "type": "string", "format": "uuid"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"лист": { "type": "integer", "minimum": 0, "default": 0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"поле":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"array", "minItems": 0, "maxItems": 4,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"items": { "type": "number", "minimum": 0, "maximum": 1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"description": "Доли листа в показанном виде: x0, y0, x1, y1."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"вид":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"enum": ["текст", "выноска", "строка таблицы",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"заголовок", "основная надпись", "подпись на плане"]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"цитата": { "type": ["string", "null"] 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"allOf": [{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"oneOf": [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{ "properties": { "ярус": { "const": "документарный"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"вид": { "enum": ["источник", "лист", "таблица"] } }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{ "properties": { "ярус": { "const": "организационный"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"вид": { "enum": ["организация", "человек", "договор",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"номер закупки", "сумма", "дата", "задание"] } }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{ "properties": { "ярус": { "const": "пространственный"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"вид": { "enum": ["объект", "корпус", "этаж",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"помещение", "ось"] } }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{ "properties": { "ярус": { "const": "предметный"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"вид": { "enum": ["обозначение", "изделие", "материал"] } }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{ "properties": { "ярус": { "const": "системный"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"вид": { "enum": ["система"] } }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{ "properties": { "ярус": { "const": "нормативный"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"вид": { "enum": ["норматив", "требование"] } } 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]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}]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"связи":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"array",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"items":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"object",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"required": ["откуда", "куда", "вид", "слой"],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"properties":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"откуда": { "type": "string", "format": "uuid"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"куда": { "type": "string", "format": "uuid"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"вид":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"enum": ["упомянуто в", "ссылается", "отменяет", "дополняет",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"входит в", "раскрыто в", "расположено в",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"питает", "управляет", "сторона документа",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"должно соответствовать"]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"слой": { "enum": ["записано", "выведено", "предположено"]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"основание":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["array", "null"], "maxItems": 2,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"items": { "type": "string", "format": "uuid"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"description": "Пара упоминаний, в которых обе стороны написаны."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"правила_связей":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"array",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"items":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"type": "object",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"required": ["вид", "откуда", "куда", "доказательство"],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"properties": {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"вид": { "type": "string"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"откуда": { "type": "array", "items": { "type": "string" }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"куда": { "type": "array", "items": { "type": "string" }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"доказательство": { "type": "string" },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"зачем": { "type": "string" 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}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```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Состав правил допустимости связей приведён в таблице 1.</w:t>
      </w:r>
    </w:p>
    <w:p>
      <w:pPr>
        <w:ind w:firstLine="0"/>
        <w:jc w:val="right"/>
      </w:pPr>
      <w:r>
        <w:rPr>
          <w:rFonts w:ascii="Times New Roman" w:hAnsi="Times New Roman"/>
          <w:b/>
          <w:i w:val="0"/>
          <w:sz w:val="28"/>
        </w:rPr>
        <w:t>Таблица 1 — Допустимые связи между ярусами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| Вид связи | Откуда | Куда | Чем доказывается |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|---|---|---|---|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| упомянуто в | любой | документарный | адрес упоминания |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| раскрыто в | предметный | документарный | выноска и строка таблицы |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| ссылается, отменяет, дополняет | документарный | документарный | номер документа в тексте |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| входит в | в пределах яруса | тот же ярус | иерархия обозначения |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| расположено в | предметный | пространственный | выноска в контуре помещения |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| питает, управляет | системный | предметный, системный | принципиальная или однолинейная схема |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| сторона документа | организационный | документарный | реквизиты, основная надпись |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| должно соответствовать | любой | нормативный | правило контроля с указанием пункта |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Заключение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Предложено устройство графа знаний объекта капитального строительства, наполняемого непосредственно по комплекту проектной и рабочей документации, без предварительного построения информационной модели.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Основные положения работы сводятся к следующему.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Документация, выпущенная средствами автоматизированного проектирования, содержит машиночитаемую структуру в текстовом и векторном слоях; растеризация листа с последующим распознаванием эту структуру не использует и восстановить не может. Разметку следует брать из текстового слоя, оставляя распознавание по изображению сканированным материалам и условным обозначениям без подписей.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Первичным узлом графа предложено считать обозначение, нанесённое на лист, а не истолкованный предмет. Обратный порядок делает отсутствие находки неотличимым от отсутствия нарушения, что для контролирующей процедуры недопустимо.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Описание разделено на три независимые оси — предметный ярус, слой доверия и контур доступа. Смешение их в одном признаке приводит либо к неправомерному ограничению доступа, либо к утрате различия между измеренной и расчётной величиной.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Ребро графа снабжается основанием — парой упоминаний, в которых обе стороны написаны. Связь, выведенная из соображений о схеме именования, хранится как гипотеза, но не как ребро.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Проверка комплектности обозначений сведена к счёту упоминаний по их видам и не требует распознавания структуры таблиц, полнота которого на листах рабочей документации не обеспечивается.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Дальнейшее развитие предложенного устройства связано с наполнением системного и нормативного ярусов: первое требует разбора принципиальных и однолинейных схем, второе — представления нормативной базы в виде, пригодном для ссылки из замечания.</w:t>
      </w:r>
    </w:p>
    <w:p/>
    <w:p>
      <w:pPr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СПИСОК ЛИТЕРАТУРЫ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1. Байбурин А.Х., Самарин А.Ю. Оценка рисков ошибок проектирования // Известия вузов. Инвестиции. Строительство. Недвижимость. 2024. Т. 14, № 4. С. 708–718. DOI: 10.21285/2227-2917-2024-4-708-718. URL: https://cyberleninka.ru/article/n/otsenka-riskov-oshibok-proektirovaniya (дата обращения: 20.09.2026).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2. Басов О.О., Демин О.Д., Носков Д.А. Подход к векторизации чертежей конструкторской документации на бумажном носителе // Научный результат. Информационные технологии. 2024. Т. 9, № 3. С. 55–62. DOI: 10.18413/2518-1092-2024-9-3-0-6. URL: https://cyberleninka.ru/article/n/podhod-k-vektorizatsii-chertezhey-konstruktorskoy-dokumentatsii-na-bumazhnom-nositele (дата обращения: 20.09.2026).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3. Берденников Ф.Р., Синенко С.А. О приёме-передаче проектной и рабочей документации в подрядной строительной организации с использованием технологий информационного моделирования для организации строительного производства // Инженерный вестник Дона. 2025. № 5. URL: https://cyberleninka.ru/article/n/o-priyome-peredache-proektnoy-i-rabochey-dokumentatsii-v-podryadnoy-stroitelnoy-organizatsii-s-ispolzovaniem-tehnologiy (дата обращения: 20.09.2026).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4. Есаулов Г.В., Барчугова Е.В., Карелин Д.А., Моисеев Ю.М. Технологии искусственного интеллекта в архитектурной и градостроительной практике, науке и образовании // Architecture and Modern Information Technologies. 2026. Т. 1, № 74. С. 229–247. DOI: 10.24412/1998-4839-2026-1-229-247. URL: https://cyberleninka.ru/article/n/tehnologii-iskusstvennogo-intellekta-v-arhitekturnoy-i-gradostroitelnoy-praktike-nauke-i-obrazovanii (дата обращения: 20.09.2026).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5. Мальцев А.Б. Контроль качества проектной деятельности в строительстве // Вестник науки. 2023. Т. 3, № 11 (68). С. 956–967. URL: https://cyberleninka.ru/article/n/kontrol-kachestva-proektnoy-deyatelnosti-v-stroitelstve (дата обращения: 20.09.2026).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6. Мухаррямов И.Р. Основные критерии выбора среды общих данных для работы проектных организаций // Инженерный вестник Дона. 2024. № 3. URL: https://cyberleninka.ru/article/n/osnovnye-kriterii-vybora-sredy-obschih-dannyh-dlya-raboty-proektnyh-organizatsiy (дата обращения: 20.09.2026).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7. Муромцев Д.И., Шилин И.А., Плюхин Д.А., Баймуратов И.Р., Хайдарова Р.Р., Дементьева Ю.Ю., Ожигин Д.А., Малышева Т.А. Построение графов знаний нормативной документации на основе семантического моделирования и автоматического извлечения терминов // Научно-технический вестник информационных технологий, механики и оптики. 2021. Т. 21, № 2. С. 256–266. DOI: 10.17586/2226-1494-2021-21-2-256-266. URL: https://cyberleninka.ru/article/n/postroenie-grafov-znaniy-normativnoy-dokumentatsii-na-osnove-semanticheskogo-modelirovaniya-i-avtomaticheskogo-izvlecheniya (дата обращения: 20.09.2026).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8. Froese T. Future directions for IFC-based interoperability // Journal of Information Technology in Construction (ITcon). 2003. Vol. 8. P. 231–246. URL: https://www.itcon.org/paper/2003/17 (дата обращения: 20.09.2026).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9. Gallaher M.P., O'Connor A.C., Dettbarn J.L., Gilday L.T. Cost Analysis of Inadequate Interoperability in the U.S. Capital Facilities Industry. NIST GCR 04-867. Gaithersburg, MD: National Institute of Standards and Technology, 2004. 210 p. URL: https://nvlpubs.nist.gov/nistpubs/gcr/2004/nist.gcr.04-867.pdf (дата обращения: 20.09.2026).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10. Palihakkara A., Osorio-Sandoval C.A., Tizani W. A review of the application of ontologies and semantic web for building information modelling and digital twins based construction management // Journal of Information Technology in Construction (ITcon). 2025. Vol. 30. P. 1208–1243. DOI: 10.36680/j.itcon.2025.049. URL: https://www.itcon.org/paper/2025/49 (дата обращения: 20.09.2026).</w:t>
      </w:r>
    </w:p>
    <w:p>
      <w:pPr>
        <w:ind w:firstLine="0"/>
        <w:jc w:val="both"/>
      </w:pPr>
      <w:r>
        <w:rPr>
          <w:rFonts w:ascii="Times New Roman" w:hAnsi="Times New Roman"/>
          <w:b w:val="0"/>
          <w:i w:val="0"/>
          <w:sz w:val="28"/>
        </w:rPr>
        <w:t>11. Rasmussen M.H., Lefrançois M., Schneider G.F., Pauwels P. BOT: The building topology ontology of the W3C linked building data group // Semantic Web. 2021. Vol. 12, № 1. P. 143–161. DOI: 10.3233/SW-200385. URL: https://www.semantic-web-journal.net/content/bot-building-topology-ontology-w3c-linked-building-data-group-0 (дата обращения: 20.09.2026).</w:t>
      </w:r>
    </w:p>
    <w:p>
      <w:pPr>
        <w:ind w:firstLine="0"/>
        <w:jc w:val="right"/>
      </w:pPr>
      <w:r>
        <w:rPr>
          <w:rFonts w:ascii="Times New Roman" w:hAnsi="Times New Roman"/>
          <w:b w:val="0"/>
          <w:i/>
          <w:sz w:val="28"/>
        </w:rPr>
        <w:t>© Габидуллин Р.З., 2026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 w:before="0"/>
    </w:pPr>
    <w:rPr>
      <w:rFonts w:ascii="Times New Roman" w:hAnsi="Times New Roman" w:cs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